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w:t>
      </w:r>
      <w:r xml:space="preserve">
        <w:tab wTab="150" tlc="none" cTlc="0"/>
      </w:r>
      <w:r>
        <w:t xml:space="preserve">S.B.</w:t>
      </w:r>
      <w:r xml:space="preserve">
        <w:t> </w:t>
      </w:r>
      <w:r>
        <w:t xml:space="preserve">No.</w:t>
      </w:r>
      <w:r xml:space="preserve">
        <w:t> </w:t>
      </w:r>
      <w:r>
        <w:t xml:space="preserve">822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13,</w:t>
      </w:r>
      <w:r xml:space="preserve">
        <w:t> </w:t>
      </w:r>
      <w:r>
        <w:t xml:space="preserve">2019; March</w:t>
      </w:r>
      <w:r xml:space="preserve">
        <w:t> </w:t>
      </w:r>
      <w:r>
        <w:t xml:space="preserve">1,</w:t>
      </w:r>
      <w:r xml:space="preserve">
        <w:t> </w:t>
      </w:r>
      <w:r>
        <w:t xml:space="preserve">2019, read first time and referred to Committee on Veteran Affairs &amp; Border Security; April</w:t>
      </w:r>
      <w:r xml:space="preserve">
        <w:t> </w:t>
      </w:r>
      <w:r>
        <w:t xml:space="preserve">8,</w:t>
      </w:r>
      <w:r xml:space="preserve">
        <w:t> </w:t>
      </w:r>
      <w:r>
        <w:t xml:space="preserve">2019, reported favorably by the following vote:</w:t>
      </w:r>
      <w:r>
        <w:t xml:space="preserve"> </w:t>
      </w:r>
      <w:r>
        <w:t xml:space="preserve"> </w:t>
      </w:r>
      <w:r>
        <w:t xml:space="preserve">Yeas 7, Nays 0; April</w:t>
      </w:r>
      <w:r xml:space="preserve">
        <w:t> </w:t>
      </w:r>
      <w:r>
        <w:t xml:space="preserve">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of a grant program to support community mental health programs for veterans and their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531.0992, Government Code, is amended by amending Subsections (c) and (d) and adding Subsections (d-1) and (d-2)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private entity that supports and administers the grant program</w:t>
      </w:r>
      <w:r>
        <w:t xml:space="preserve">] shall </w:t>
      </w:r>
      <w:r>
        <w:rPr>
          <w:u w:val="single"/>
        </w:rPr>
        <w:t xml:space="preserve">ensure that each grant recipient obtains or secures contributions to match awarded grants in amounts of money or other consideration as required by Subsection (d-1) or (d-2)</w:t>
      </w:r>
      <w:r>
        <w:t xml:space="preserve"> [</w:t>
      </w:r>
      <w:r>
        <w:rPr>
          <w:strike/>
        </w:rPr>
        <w:t xml:space="preserve">obtain or secure contributions to the grant program in an amount of money or other consideration at least equal in value to the amount of money awarded to grant recipients by the commission under the grant program</w:t>
      </w:r>
      <w:r>
        <w:t xml:space="preserve">]. </w:t>
      </w:r>
      <w:r>
        <w:t xml:space="preserve"> </w:t>
      </w:r>
      <w:r>
        <w:t xml:space="preserve">The money or other consideration obtained or secured by the </w:t>
      </w:r>
      <w:r>
        <w:rPr>
          <w:u w:val="single"/>
        </w:rPr>
        <w:t xml:space="preserve">commission</w:t>
      </w:r>
      <w:r>
        <w:t xml:space="preserve"> [</w:t>
      </w:r>
      <w:r>
        <w:rPr>
          <w:strike/>
        </w:rPr>
        <w:t xml:space="preserve">private entity</w:t>
      </w:r>
      <w:r>
        <w:t xml:space="preserve">] may, as determined by the executive commissioner, include cash or in-kind contributions from private contributors or local governments but may not include state or federal funds.</w:t>
      </w:r>
    </w:p>
    <w:p w:rsidR="003F3435" w:rsidRDefault="0032493E">
      <w:pPr>
        <w:spacing w:line="480" w:lineRule="auto"/>
        <w:ind w:firstLine="720"/>
        <w:jc w:val="both"/>
      </w:pPr>
      <w:r>
        <w:t xml:space="preserve">(d)</w:t>
      </w:r>
      <w:r xml:space="preserve">
        <w:t> </w:t>
      </w:r>
      <w:r xml:space="preserve">
        <w:t> </w:t>
      </w:r>
      <w:r>
        <w:t xml:space="preserve">Money appropriated to, or obtained by, the commission for the grant program must be disbursed directly to grant recipients by the commission, as authorized by the executive commissioner. </w:t>
      </w:r>
      <w:r>
        <w:t xml:space="preserve"> </w:t>
      </w:r>
      <w:r>
        <w:t xml:space="preserve">[</w:t>
      </w:r>
      <w:r>
        <w:rPr>
          <w:strike/>
        </w:rPr>
        <w:t xml:space="preserve">Money or other consideration obtained or secured by the private entity must be disbursed or provided directly to grant recipients by the private entity, private contributors, or local governments, as authorized by the executive commissioner.</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services and treatment provided in a single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grant amount if the community mental health program to be supported by the grant provides services and treatment in a county with a population of less than 250,000;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percent of the grant amount if the community mental health program to be supported by the grant provides services and treatment in a county with a population of 250,000 or more.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For a community mental health program that provides services and treatment in more than one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grant amount if the largest county in which the community mental health program to be supported by the grant provides services and treatment has a population of less than 250,000;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percent of the grant amount if the largest county in which the community mental health program to be supported by the grant provides services and treatment has a population of 250,000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531.0992(b) and (g), Government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