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86R5870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 by certain municipalities of leased land located near the shoreline of a lake.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272.001(h),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municipality having a population of </w:t>
      </w:r>
      <w:r>
        <w:rPr>
          <w:u w:val="single"/>
        </w:rPr>
        <w:t xml:space="preserve">1.5 million</w:t>
      </w:r>
      <w:r>
        <w:t xml:space="preserve"> [</w:t>
      </w:r>
      <w:r>
        <w:rPr>
          <w:strike/>
        </w:rPr>
        <w:t xml:space="preserve">825,000</w:t>
      </w:r>
      <w:r>
        <w:t xml:space="preserve">] or less and owning land within 5,000 feet of where the shoreline of a lake would be if the lake were filled to its storage capacity may, without notice or the solicitation of bids, sell the land to the person leasing the land for the fair market value of the land as determined by a certified appraiser.  While land described by this subsection is under lease, the municipality owning the land may not sell the land to any person other than the person leasing the land.  To protect the public health, safety, or welfare and to ensure an adequate municipal water supply, property sold by the municipality under this subsection is not eligible for and the owner is not entitled to the exemption provided by Section 11.142(a), Water Code.  The instrument conveying property under this subsection must include a provision stating that the exemption does not apply to the conveyance.  In this subsection, "lake" means an inland body of standing water, including a reservoir formed by impounding the water of a river or creek but not including an impoundment of salt water or brackish water, that has a storage capacity of more than 10,000 acre-feet.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