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civil cases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w:t>
      </w:r>
      <w:r>
        <w:rPr>
          <w:u w:val="single"/>
        </w:rPr>
        <w:t xml:space="preserve">Subject to Section 74.1625 and notwithstanding</w:t>
      </w:r>
      <w:r>
        <w:t xml:space="preserve"> [</w:t>
      </w:r>
      <w:r>
        <w:rPr>
          <w:strike/>
        </w:rPr>
        <w:t xml:space="preserve">Notwithstanding</w:t>
      </w:r>
      <w:r>
        <w:t xml:space="preserve">] any other law [</w:t>
      </w:r>
      <w:r>
        <w:rPr>
          <w:strike/>
        </w:rPr>
        <w:t xml:space="preserve">to the contrary</w:t>
      </w:r>
      <w:r>
        <w:t xml:space="preserve">],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Government Code, is amended by adding Section 74.1625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74.1625.</w:t>
      </w:r>
      <w:r>
        <w:rPr>
          <w:u w:val="single"/>
        </w:rPr>
        <w:t xml:space="preserve"> </w:t>
      </w:r>
      <w:r>
        <w:rPr>
          <w:u w:val="single"/>
        </w:rPr>
        <w:t xml:space="preserve"> </w:t>
      </w:r>
      <w:r>
        <w:rPr>
          <w:u w:val="single"/>
        </w:rPr>
        <w:t xml:space="preserve">PROHIBITED TRANSFER OF CASES.  (a)</w:t>
      </w:r>
      <w:r>
        <w:rPr>
          <w:u w:val="single"/>
        </w:rPr>
        <w:t xml:space="preserve"> </w:t>
      </w:r>
      <w:r>
        <w:rPr>
          <w:u w:val="single"/>
        </w:rPr>
        <w:t xml:space="preserve"> </w:t>
      </w:r>
      <w:r>
        <w:rPr>
          <w:u w:val="single"/>
        </w:rPr>
        <w:t xml:space="preserve">Notwithstanding any other law, the judicial panel on multidistrict </w:t>
      </w:r>
      <w:r>
        <w:rPr>
          <w:u w:val="single"/>
        </w:rPr>
        <w:t xml:space="preserve"> </w:t>
      </w:r>
      <w:r>
        <w:rPr>
          <w:u w:val="single"/>
        </w:rPr>
        <w:t xml:space="preserve">litigation may not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brought under Subchapter E, Chapter 17, Business &amp; Commerce Code, except an action specifically authorized by Section 17.50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brought under Chapter 36,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action commenced on or after the effective date of this Act, or pending on that date, and for which the trial, or any new trial or retrial following a motion, appeal, or otherwise, begins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