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86R8253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834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an occupational license to certain applicants with prior convictions.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53.0211(b),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law other than Subsection (a) and unless the applicant has been convicted of an offense described by Section </w:t>
      </w:r>
      <w:r>
        <w:rPr>
          <w:u w:val="single"/>
        </w:rPr>
        <w:t xml:space="preserve">53.021(a)(1), (3), or (4), or an offense described by Section 53.021(a)(2) that is punishable as a felony</w:t>
      </w:r>
      <w:r>
        <w:t xml:space="preserve"> [</w:t>
      </w:r>
      <w:r>
        <w:rPr>
          <w:strike/>
        </w:rPr>
        <w:t xml:space="preserve">53.021(a)</w:t>
      </w:r>
      <w:r>
        <w:t xml:space="preserve">], a licensing authority shall issue to an otherwise qualified applicant who has been convicted of an offense:</w:t>
      </w:r>
    </w:p>
    <w:p w:rsidR="003F3435" w:rsidRDefault="0032493E">
      <w:pPr>
        <w:spacing w:line="480" w:lineRule="auto"/>
        <w:ind w:firstLine="1440"/>
        <w:jc w:val="both"/>
      </w:pPr>
      <w:r>
        <w:t xml:space="preserve">(1)</w:t>
      </w:r>
      <w:r xml:space="preserve">
        <w:t> </w:t>
      </w:r>
      <w:r xml:space="preserve">
        <w:t> </w:t>
      </w:r>
      <w:r>
        <w:t xml:space="preserve">the license for which the applicant applied; or</w:t>
      </w:r>
    </w:p>
    <w:p w:rsidR="003F3435" w:rsidRDefault="0032493E">
      <w:pPr>
        <w:spacing w:line="480" w:lineRule="auto"/>
        <w:ind w:firstLine="1440"/>
        <w:jc w:val="both"/>
      </w:pPr>
      <w:r>
        <w:t xml:space="preserve">(2)</w:t>
      </w:r>
      <w:r xml:space="preserve">
        <w:t> </w:t>
      </w:r>
      <w:r xml:space="preserve">
        <w:t> </w:t>
      </w:r>
      <w:r>
        <w:t xml:space="preserve">a provisional license described by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license submitted on or after the effective date of this Act.  An application for a license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