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86R4433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county court at law in Rockwall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25.2011,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25.2011.</w:t>
      </w:r>
      <w:r xml:space="preserve">
        <w:t> </w:t>
      </w:r>
      <w:r xml:space="preserve">
        <w:t> </w:t>
      </w:r>
      <w:r>
        <w:t xml:space="preserve">ROCKWALL COUNTY.  Rockwall County has </w:t>
      </w:r>
      <w:r>
        <w:rPr>
          <w:u w:val="single"/>
        </w:rPr>
        <w:t xml:space="preserve">the following statutory county courts: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one statutory county court,</w:t>
      </w:r>
      <w:r>
        <w:t xml:space="preserve">] the County Court at Law </w:t>
      </w:r>
      <w:r>
        <w:rPr>
          <w:u w:val="single"/>
        </w:rPr>
        <w:t xml:space="preserve">No.</w:t>
      </w:r>
      <w:r>
        <w:rPr>
          <w:u w:val="single"/>
        </w:rPr>
        <w:t xml:space="preserve"> </w:t>
      </w:r>
      <w:r>
        <w:rPr>
          <w:u w:val="single"/>
        </w:rPr>
        <w:t xml:space="preserve">1</w:t>
      </w:r>
      <w:r>
        <w:t xml:space="preserve"> of Rockwall County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Court at Law No.</w:t>
      </w:r>
      <w:r>
        <w:rPr>
          <w:u w:val="single"/>
        </w:rPr>
        <w:t xml:space="preserve"> </w:t>
      </w:r>
      <w:r>
        <w:rPr>
          <w:u w:val="single"/>
        </w:rPr>
        <w:t xml:space="preserve">2 of Rockwall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25.2012(c), (g), and (h),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district clerk serves as clerk of a county court at law except that the county clerk serves as clerk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in matters of mental health, the probate and criminal misdemeanor docket, and all civil matters in which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does not have concurrent jurisdiction with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When administering a case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law, the district clerk shall charge civil fees and court costs as if the case had been filed in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court. In a case of concurrent jurisdiction, the case shall be assigned to either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district court 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in accordance with local administrative rules established by the local administrative judge.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judge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shall appoint an official court reporter for the </w:t>
      </w:r>
      <w:r>
        <w:rPr>
          <w:u w:val="single"/>
        </w:rPr>
        <w:t xml:space="preserve">judge's</w:t>
      </w:r>
      <w:r>
        <w:t xml:space="preserve"> court and shall set the official court reporter's annual salary, subject to approval by the county commissioners court. The official court reporter of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county court at law shall take an oath or affirmation as an officer of the court. The official court reporter holds office at the pleasure of the judge [</w:t>
      </w:r>
      <w:r>
        <w:rPr>
          <w:strike/>
        </w:rPr>
        <w:t xml:space="preserve">of the court</w:t>
      </w:r>
      <w:r>
        <w:t xml:space="preserve">] and shall be provided a private office in close proximity to the court. The official court reporter is entitled to all rights and benefits afforded all other county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