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86R8676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freestanding emergency medical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"Facility" means a freestanding emergency medical care facility licensed under Chapter 254,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conduct a study on freestanding emergency medical care facilities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reviews the impact facilities have on medically underserved and rural areas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reviews the impact facilities have on rural hospitals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reviews the impact facilities have on hospital emergency rooms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reviews complaints filed against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examines the reasons facilities have closed;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examines the reasons facilities have filed petitions for bankruptcy;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examines patient protections provided by facilities and patient health care coverage available at the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examines the location of facilities, the growth patterns of new facilities, and the proximity of the new facilities to hospital emergency rooms;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identifies gaps in emergency medical care treatment that are filled by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December 1, 2020, the commission shall prepare and submit to the governor, lieutenant governor, speaker of the house of representatives, and members of the legislature a written report that includes a summary of the results of the study conducted under this section and any legislative recommendations based on the study.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Act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