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857</w:t>
      </w:r>
    </w:p>
    <w:p w:rsidR="003F3435" w:rsidRDefault="0032493E">
      <w:pPr>
        <w:ind w:firstLine="720"/>
        <w:jc w:val="both"/>
      </w:pPr>
      <w:r>
        <w:t xml:space="preserve">(Paul)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training for certain emergency management coordinators.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418.005(a),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elected law enforcement officer or county judge, or an appointed public officer of the state or of a political subdivision, who has management or supervisory responsibilities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who plays a role in emergency preparedness, response, or recovery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management coordinator designated under Section 418.1015(c) by the emergency management director of a county with a population of 500,000 or more</w:t>
      </w:r>
      <w:r>
        <w:t xml:space="preserve">.</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otherwise assumes responsibilities as a public officer, if the person is not required to take an oath of office to assume the person's duties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designated as an emergency management coordinator under Section 418.1015(c)</w:t>
      </w:r>
      <w:r>
        <w:t xml:space="preserve">.</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 and a training course related to the emergency management responsibilities of officers </w:t>
      </w:r>
      <w:r>
        <w:rPr>
          <w:u w:val="single"/>
        </w:rPr>
        <w:t xml:space="preserve">and emergency management coordinators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w:t>
      </w:r>
      <w:r>
        <w:t xml:space="preserve"> </w:t>
      </w:r>
      <w:r>
        <w:t xml:space="preserve">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