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858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liability of certain political subdivisions in certain workers' compensation actions.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504.053(e), Labor Code, is amended to read as follows:</w:t>
      </w:r>
    </w:p>
    <w:p w:rsidR="003F3435" w:rsidRDefault="0032493E">
      <w:pPr>
        <w:spacing w:line="480" w:lineRule="auto"/>
        <w:ind w:firstLine="720"/>
        <w:jc w:val="both"/>
      </w:pPr>
      <w:r>
        <w:t xml:space="preserve">(e)</w:t>
      </w:r>
      <w:r xml:space="preserve">
        <w:t> </w:t>
      </w:r>
      <w:r xml:space="preserve">
        <w:t> </w:t>
      </w:r>
      <w:r>
        <w:t xml:space="preserve">Nothing in this chapter waives sovereign immunity or creates a new cause of action, except that a political subdivision that self-insures either individually or collectively is liable for</w:t>
      </w:r>
      <w:r>
        <w:rPr>
          <w:u w:val="single"/>
        </w:rPr>
        <w:t xml:space="preserve">:</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sanctions, administrative penalties, and other remedies authorized under Chapter 415;</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attorney's fees as provided by Section 408.221(c); and</w:t>
      </w:r>
    </w:p>
    <w:p w:rsidR="003F3435" w:rsidRDefault="0032493E">
      <w:pPr>
        <w:spacing w:line="480" w:lineRule="auto"/>
        <w:ind w:firstLine="720"/>
        <w:jc w:val="both"/>
      </w:pPr>
      <w:r>
        <w:rPr>
          <w:u w:val="single"/>
        </w:rPr>
        <w:t xml:space="preserve">(3)</w:t>
      </w:r>
      <w:r xml:space="preserve">
        <w:t> </w:t>
      </w:r>
      <w:r xml:space="preserve">
        <w:t> </w:t>
      </w:r>
      <w:r>
        <w:t xml:space="preserve">attorney's fees as provided by Section 417.003.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415.021, Labor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any sanctions, administrative penalty, or other remedy authorized by this subtitle, the commissioner may assess an administrative penalty against a political subdivision that self-insures either individually or collectively that commits an administrative violation in connection with a workers' compensation claim filed by an individual elected, appointed, or employed as a peace officer by the political subdivision under Article 2.12, Code of Criminal Procedure, or other law, or an individual who is employed by the political subdivision and is subject to certification by the Texas Commission on Fire Protection. The amount of the administrative penalty shall not be less than two times the total amount of benefits payable in connection with the employee's claim.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504.053, Labor Code, as amended by this Act, and Section 415.021, Labor Code, as amended by this Act, apply only to an administrative violation under Chapter 415, Labor Code, that occurs on or after the effective date of this Act.  An administrative violation that occurs before the effective date of this Act is governed by the law applicable to the violation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