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86R9838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859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health care practitioner to disclose to law enforcement agencies and prosecutors a suspected human trafficking victim's health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Health and Safety Code, is amended by adding Subchapter E-1 to read as follows:</w:t>
      </w:r>
    </w:p>
    <w:p w:rsidR="003F3435" w:rsidRDefault="0032493E">
      <w:pPr>
        <w:spacing w:line="480" w:lineRule="auto"/>
        <w:jc w:val="center"/>
      </w:pPr>
      <w:r>
        <w:rPr>
          <w:u w:val="single"/>
        </w:rPr>
        <w:t xml:space="preserve">SUBCHAPTER E-1.  AUTHORIZED DISCLOSURE OF HUMAN TRAFFICKING VICTIM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161.051.</w:t>
      </w:r>
      <w:r>
        <w:rPr>
          <w:u w:val="single"/>
        </w:rPr>
        <w:t xml:space="preserve"> </w:t>
      </w:r>
      <w:r>
        <w:rPr>
          <w:u w:val="single"/>
        </w:rPr>
        <w:t xml:space="preserve"> </w:t>
      </w:r>
      <w:r>
        <w:rPr>
          <w:u w:val="single"/>
        </w:rPr>
        <w:t xml:space="preserve">DEFINITION.  In this subchapter, "health care practitioner" means an individual who holds a license, certificate, permit, or other authorization issued under Title 3, Occupations Code, to engage in a health care profession.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161.052.</w:t>
      </w:r>
      <w:r>
        <w:rPr>
          <w:u w:val="single"/>
        </w:rPr>
        <w:t xml:space="preserve"> </w:t>
      </w:r>
      <w:r>
        <w:rPr>
          <w:u w:val="single"/>
        </w:rPr>
        <w:t xml:space="preserve"> </w:t>
      </w:r>
      <w:r>
        <w:rPr>
          <w:u w:val="single"/>
        </w:rPr>
        <w:t xml:space="preserve">DISCLOSURE OF SUSPECTED HUMAN TRAFFICKING VICTIM.  (a) </w:t>
      </w:r>
      <w:r>
        <w:rPr>
          <w:u w:val="single"/>
        </w:rPr>
        <w:t xml:space="preserve"> </w:t>
      </w:r>
      <w:r>
        <w:rPr>
          <w:u w:val="single"/>
        </w:rPr>
        <w:t xml:space="preserve">A health care practitioner may disclose an individual's health information to any local, state, or federal law enforcement agency or prosecutor without the individual's consent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practitioner reasonably believes the individual is a victim of abuse as a result of conduct constituting an offense under Chapter 20A,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practitioner, in the exercise of the practitioner's professional judgment, believes the disclosure is necessary to prevent serious harm to the individual or other potential victims.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in good faith discloses information under this section is not subject to civil or criminal liability for damages arising out of the disclosure.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that receives information under Subsection (a) may submit that information to the attorney general, the Department of Public Safety of the State of Texas, another local, state, or federal law enforcement agency, or a local, state, or federal prosecutor as evidence of the commission of an offense.  The agency or prosecutor may use the submitted information for the investigation and prosecution of an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