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86R7561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contents of personal financial statements filed with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and the category of the number of shares of stock of any business entity held or acquired, and if sold, the category of the amount of net gain or loss realized from the sale;</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B, Chapter 573;</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254,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305;</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36.07(b),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number of shares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1201.002(1),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r>
        <w:rPr>
          <w:u w:val="single"/>
        </w:rPr>
        <w:t xml:space="preserve">;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identification of any person related to the individual within the first degree of consanguinity or affinity, as determined under Subchapter B, Chapter 573, who engages in activities that require registration under Chapter 305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572.023, Government Code, applies only to a financial statement filed under Subchapter B, Chapter 572, Government Code, on or after January 1, 2021.  A financial statement filed before January 1, 2021, is governed by the law in effect on the date of filing,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