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Seliger</w:t>
      </w:r>
      <w:r xml:space="preserve">
        <w:tab wTab="150" tlc="none" cTlc="0"/>
      </w:r>
      <w:r>
        <w:t xml:space="preserve">S.B.</w:t>
      </w:r>
      <w:r xml:space="preserve">
        <w:t> </w:t>
      </w:r>
      <w:r>
        <w:t xml:space="preserve">No.</w:t>
      </w:r>
      <w:r xml:space="preserve">
        <w:t> </w:t>
      </w:r>
      <w:r>
        <w:t xml:space="preserve">863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of costs associated with dual credit courses offered at public high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28, Education Code, is amended by adding Section 28.0091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28.0091.</w:t>
      </w:r>
      <w:r>
        <w:rPr>
          <w:u w:val="single"/>
        </w:rPr>
        <w:t xml:space="preserve"> </w:t>
      </w:r>
      <w:r>
        <w:rPr>
          <w:u w:val="single"/>
        </w:rPr>
        <w:t xml:space="preserve"> </w:t>
      </w:r>
      <w:r>
        <w:rPr>
          <w:u w:val="single"/>
        </w:rPr>
        <w:t xml:space="preserve">STUDY OF COSTS OF DUAL CREDIT COURSES.  (a)</w:t>
      </w:r>
      <w:r>
        <w:rPr>
          <w:u w:val="single"/>
        </w:rPr>
        <w:t xml:space="preserve"> </w:t>
      </w:r>
      <w:r>
        <w:rPr>
          <w:u w:val="single"/>
        </w:rPr>
        <w:t xml:space="preserve"> </w:t>
      </w:r>
      <w:r>
        <w:rPr>
          <w:u w:val="single"/>
        </w:rPr>
        <w:t xml:space="preserve">The agency shall conduct an ongoing study to examine costs associated with dual credit courses offered at public high schools. </w:t>
      </w:r>
      <w:r>
        <w:rPr>
          <w:u w:val="single"/>
        </w:rPr>
        <w:t xml:space="preserve"> </w:t>
      </w:r>
      <w:r>
        <w:rPr>
          <w:u w:val="single"/>
        </w:rPr>
        <w:t xml:space="preserve">In conducting the study,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collect from school districts, public institutions of higher education, and the Texas Higher Education Coordinating Board data relating to costs associated with dual credit courses,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tuition and required fees;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cost of required textbooks or other instructional materials;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cost of student transportation to and from the location at which a dual credit course is provided;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any fee collected to pay the instructor of a dual credit course;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cost of any assessment instrument administered under Section 51.333 as a prerequisite for enrollment in a dual credit course;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cost of using a facility at which a dual credit course is provided;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any other associated costs identified during the study;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sources of funding for dual credit courses and the amount funded by each source;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consult with relevant stakeholders, including the Texas Higher Education Coordinating Board, the American Institutes for Research, and the Texas Dual Credit 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may contract with any public or private entity to conduct the study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December 1 of each even-numbered year, the agency shall submit to the governor, the lieutenant governor, and the speaker of the house of representatives a report on the results of the study under this section. </w:t>
      </w:r>
      <w:r>
        <w:rPr>
          <w:u w:val="single"/>
        </w:rPr>
        <w:t xml:space="preserve"> </w:t>
      </w:r>
      <w:r>
        <w:rPr>
          <w:u w:val="single"/>
        </w:rPr>
        <w:t xml:space="preserve">The report must include a comparison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costs associated with dual credit courses offered at public high schools generally and costs associated with dual credit courses offered through a college and career readiness school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early college high school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Pathways in Technology Early College High School (P-TECH) program established under Section 29.553;</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Industry Cluster Innovative Academy;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Texas Science, Technology, Engineering, and Mathematics (T-STEM)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cost associated with dual credit courses per semester credit hour or the equivalent and the total cost associated with those courses.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adopt rules as necessary to administer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2020, the Texas Education Agency shall submit the initial report required under Section 28.0091,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Texas Education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