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86R2306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certain industrial solid waste authorized to be accepted by a municipal solid waste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361, Health and Safety Code, is amended by adding Section 361.0191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361.0191.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AMOUNT OF INDUSTRIAL SOLID WASTE ACCEPTED AT MUNICIPAL SOLID WASTE FACILITY.  (a)  This section applies only to a municipal solid waste facility that was originally permitted on or after October 9, 1993.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solid waste facility  may accept Class I industrial solid waste in an amount not to exceed 20 percent of the total amount of non-Class I industrial solid waste accepted in that calendar year and the preceding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commission determines that the planning region in which the municipal solid waste facility is located lacks sufficient disposal capacity for Class I industrial solid waste, the commission may authorize a permit amendment to increase the amount of Class I industrial solid waste authorized under Subsection (b) to an amount not to exceed 50 percent of the total amount of non-Class I industrial solid waste accepted in that calendar year and the preceding calendar year. A permit amendment under this subsection is considered a major amendment as defined by commission rule and subjects the permittee to all of the procedural and substantive obligations imposed by the rules applicable to major amendments.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waste accepted may be measured by volume or by weight, but the same means of measurement must be used in the calculation for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361.0191(c), Health and Safety Code, as added by this Act, applies only to an application for the amendment of a permit pending before the Texas Commission on Environmental Quality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