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Clear Fork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CLEAR FORK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Clear Fork Ranch</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  On or after September 1, 2019,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  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Fork Ranch Municipal Utility District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