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872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872 passed the House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