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forms for creating or revoking a transfer on death deed.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22.020(a), Government Code, is amended by adding Subdivision (3)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"Transfer on death deed" has the meaning assigned by Section 114.002, Estates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supreme court shall, as the court considers appropriate, promulgate: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forms for use by individuals representing themselves in certain probate matters, including forms for use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small estate affidavit proceeding under Chapter 205, Estates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probate of a will as a muniment of title under Chapter 257, Estates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simple will form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married individual with a minor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married individual with no children;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unmarried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unmarried individual with a minor child;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 unmarried individual with no children;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form for use to create a transfer on death deed and a form for use to create an instrument of revocation of a transfer on death deed under Chapter 114, Estates Code;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instructions for the proper use of each form or set of forms.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Estates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114.002(b);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D, Chapter 114.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repeal of Subchapter D, Chapter 114, Estates Code, by this Act does not affect the validity of a transfer on death deed or a cancellation of a transfer on death deed executed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