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86R9043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forms for creating or revoking a transfer on death deed.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22.020(a), Government Code, is amended by adding Subdivision (3)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"Transfer on death deed" has the meaning assigned by Section 114.002, Estates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22.020(b),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supreme court shall, as the court considers appropriate, promulgate: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forms for use by individuals representing themselves in certain probate matters, including forms for use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small estate affidavit proceeding under Chapter 205, Estates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probate of a will as a muniment of title under Chapter 257, Estates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simple will form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married individual with an adult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married individual with a minor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married individual with no children;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unmarried individual with an adult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unmarried individual with a minor child;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an unmarried individual with no children;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form for use to create a transfer on death deed and a form for use to create an instrument of revocation of a transfer on death deed under Chapter 114, Estates Code;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instructions for the proper use of each form or set of forms.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Estates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114.002(b);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 D, Chapter 114.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repeal of Subchapter D, Chapter 114, Estates Code, by this Act does not affect the validity of a transfer on death deed or a cancellation of a transfer on death deed executed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