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86R7828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political subdivision to adopt or enforce certain regulations regarding whether a private employer may obtain or consider an employment applicant's or employee's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3, Labor Code, is amended by adding Chapter 106 to read as follows:</w:t>
      </w:r>
    </w:p>
    <w:p w:rsidR="003F3435" w:rsidRDefault="0032493E">
      <w:pPr>
        <w:spacing w:line="480" w:lineRule="auto"/>
        <w:jc w:val="center"/>
      </w:pPr>
      <w:r>
        <w:rPr>
          <w:u w:val="single"/>
        </w:rPr>
        <w:t xml:space="preserve">CHAPTER 106.  CRIMINAL HISTORY RECORD INFORMATION OF EMPLOYMENT APPLICANT OR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 person who has made an oral or written application with a private employer, or has sent a resume or other correspondence to a private employer, indicating an interest in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"Criminal history record information" has the meaning assigned by Section 411.082,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106.002.</w:t>
      </w:r>
      <w:r>
        <w:rPr>
          <w:u w:val="single"/>
        </w:rPr>
        <w:t xml:space="preserve"> </w:t>
      </w:r>
      <w:r>
        <w:rPr>
          <w:u w:val="single"/>
        </w:rPr>
        <w:t xml:space="preserve"> </w:t>
      </w:r>
      <w:r>
        <w:rPr>
          <w:u w:val="single"/>
        </w:rPr>
        <w:t xml:space="preserve">CERTAIN LOCAL REGULATION OF PRIVATE EMPLOYERS PROHIBITED.  A political subdivision of this state may not adopt or enforce any ordinance or other local regulation that prohibits, limits, or otherwise regulates a private employer's ability to request, consider, or take employment action based on the criminal history record information of an applicant or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106.003.</w:t>
      </w:r>
      <w:r>
        <w:rPr>
          <w:u w:val="single"/>
        </w:rPr>
        <w:t xml:space="preserve"> </w:t>
      </w:r>
      <w:r>
        <w:rPr>
          <w:u w:val="single"/>
        </w:rPr>
        <w:t xml:space="preserve"> </w:t>
      </w:r>
      <w:r>
        <w:rPr>
          <w:u w:val="single"/>
        </w:rPr>
        <w:t xml:space="preserve">NONAPPLICABILITY.  This chapter does not prevent a political subdivision of this state from adopting or enforcing an ordinance or other local regulation relating to the access to or consideration of the criminal history record information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entering into a contract or other agreement with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 grant from the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seeking a license, permit, or other authorization to conduct business from the political subdivision;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conducting business with or under the regulatory authority of the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