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86R10743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expressive rights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51.9315.</w:t>
      </w:r>
      <w:r>
        <w:rPr>
          <w:u w:val="single"/>
        </w:rPr>
        <w:t xml:space="preserve"> </w:t>
      </w:r>
      <w:r>
        <w:rPr>
          <w:u w:val="single"/>
        </w:rPr>
        <w:t xml:space="preserve"> </w:t>
      </w:r>
      <w:r>
        <w:rPr>
          <w:u w:val="single"/>
        </w:rPr>
        <w:t xml:space="preserve">PROTECTION OF EXPRESSIVE RIGHTS.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"Expressive rights" means the rights protected by the First Amendment to the United States Constitution or by Section 8, Article I, Texas Constitution, including freedom of speech, freedom of the press, freedom of association, and free exercise of religion.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organization" includes any organization that is composed mostly of students enrolled at an institution of higher education and that is recognized by or registered with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designate any area on campus as a free speech zone or otherwise create policies implying that its students' or employees' expressive rights are restricted to particular areas of campus.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an institution of higher education may adopt a policy that imposes reasonable restrictions on the time, place, and manner of the exercise of expressive rights on the institution's campus if those restrictions: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narrowly tailored to serve a significant institutional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clear, published, content-neutral, and viewpoint-neutral criteria;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ample alternative means of expression.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permit a student organization formed for the purpose of exercising expressive rights to establish and maintain membership and leadership qualifications for the organization that further the organization's purpose, including by requiring the organization's leaders or members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adhere to or comply with the organization's: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sincerely held beliefs;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sincere standards of conduct;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committed to furthering the organization's mission or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institution of higher education shall adopt a policy protecting the expressive rights of students enrolled at and employees of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institution to provide written notice to students and employees of a restriction adopted under Subsection (c) at least 30 days before the date on which the restriction is imposed,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notice on the institution's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mailing or e-mailing the notice to each student and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define the purpose and scope of any limited public forum established by the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punishing a student or employee in any manner for exercising expressive rights;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grievance procedure for addressing complaints of a violation of this 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approved by a majority vote of the institution's governing board before final adoption;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posted on the institution's Internet website and annually distributed by mail or e-mail to students and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