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895</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language acquisition of children eight years of age or younger who are deaf or hard of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finds that children who are deaf or hard of hearing are often at risk for language delay or deprivation. </w:t>
      </w:r>
      <w:r>
        <w:t xml:space="preserve"> </w:t>
      </w:r>
      <w:r>
        <w:t xml:space="preserve">Research indicates that there is limited success in addressing these issues after the optimal period for language acquisition. </w:t>
      </w:r>
      <w:r>
        <w:t xml:space="preserve"> </w:t>
      </w:r>
      <w:r>
        <w:t xml:space="preserve">It is critical that the language acquisition of children who are deaf or hard of hearing is closely monitored from birth through age eight to enable the use of timely interventions that support age-appropriate language skills. </w:t>
      </w:r>
      <w:r>
        <w:t xml:space="preserve"> </w:t>
      </w:r>
      <w:r>
        <w:t xml:space="preserve">Therefore, the purpose of this Act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(b)</w:t>
      </w:r>
      <w:r xml:space="preserve">
        <w:t> </w:t>
      </w:r>
      <w:r xml:space="preserve">
        <w:t> </w:t>
      </w:r>
      <w:r>
        <w:t xml:space="preserve">Nothing in this Act shall operate to override the parental consent provisions set forth in 34 C.F.R. Section 300.300.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utilize existing collected data and data collected and transferred from the Department of State Health Services and the Health and Human Services Commission, as agreed upon in the memorandum of understanding, for the report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29.316(d), Education Code, as added by this Act.</w:t>
      </w:r>
    </w:p>
    <w:p w:rsidR="003F3435" w:rsidRDefault="0032493E">
      <w:pPr>
        <w:spacing w:line="480" w:lineRule="auto"/>
        <w:ind w:firstLine="720"/>
        <w:jc w:val="both"/>
      </w:pPr>
      <w:r>
        <w:t xml:space="preserve">(c)</w:t>
      </w:r>
      <w:r xml:space="preserve">
        <w:t> </w:t>
      </w:r>
      <w:r xml:space="preserve">
        <w:t> </w:t>
      </w:r>
      <w:r>
        <w:t xml:space="preserve">Notwithstanding Section 29.316(c), Education Code, as added by this Act, the agency, the division, and the center jointly shall prepare and post on the agency's, division's, and center's respective Internet websites the initial report required under that subsection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agency and commission may, but are not required to, implement a provision of this Act using other appropriations available for the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