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86R9326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898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applicants for employment at assisted living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APPLICANTS FOR EMPLOYMENT; CRIMINAL HISTORY CHECK.  (a) </w:t>
      </w:r>
      <w:r>
        <w:rPr>
          <w:u w:val="single"/>
        </w:rPr>
        <w:t xml:space="preserve"> </w:t>
      </w:r>
      <w:r>
        <w:rPr>
          <w:u w:val="single"/>
        </w:rPr>
        <w:t xml:space="preserve">In addition to the prohibitions provided by Section 250.003, an assisted living facility licensed under this chapter may not employ at the facility an applicant who fails to indicate in a written statement developed by the commission and included with the submitted application that the applicant has not been convicted of an offense described by Section 250.006. </w:t>
      </w:r>
      <w:r>
        <w:rPr>
          <w:u w:val="single"/>
        </w:rPr>
        <w:t xml:space="preserve"> </w:t>
      </w:r>
      <w:r>
        <w:rPr>
          <w:u w:val="single"/>
        </w:rPr>
        <w:t xml:space="preserve">For purposes of this subsection, a person who commits an offense in another state that is substantially similar to an offense described by Section 250.006 is considered to have committed the offense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applicant for employment at an assisted living facility states in the application that the applicant resided in another state during the five years preceding the date of the application, the facility shall conduct a criminal history check in each state in which the applicant previously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the statement described by Subsection (a) and make the statement available to assisted living facilities on the commission's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247.072, Health and Safety Code, as added by this Act, applies only to an application for employment at an assisted living facility submitted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