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Creighton, Hall</w:t>
      </w:r>
      <w:r xml:space="preserve">
        <w:tab wTab="150" tlc="none" cTlc="0"/>
      </w:r>
      <w:r>
        <w:t xml:space="preserve">S.B.</w:t>
      </w:r>
      <w:r xml:space="preserve">
        <w:t> </w:t>
      </w:r>
      <w:r>
        <w:t xml:space="preserve">No.</w:t>
      </w:r>
      <w:r xml:space="preserve">
        <w:t> </w:t>
      </w:r>
      <w:r>
        <w:t xml:space="preserve">901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strike/>
        </w:rPr>
        <w:t xml:space="preserve">Class A misdemeanor, unless it is shown on the trial of an offense under this section that the person committed an offense under Section 64.036 for providing unlawful assistance to the same voter in connection with the same ballot, in which event the offense is a</w:t>
      </w:r>
      <w:r>
        <w:t xml:space="preserve">]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w:t>
      </w:r>
      <w:r>
        <w:rPr>
          <w:u w:val="single"/>
        </w:rPr>
        <w:t xml:space="preserve">signature</w:t>
      </w:r>
      <w:r>
        <w:t xml:space="preserve"> [</w:t>
      </w:r>
      <w:r>
        <w:rPr>
          <w:strike/>
        </w:rPr>
        <w:t xml:space="preserve">two or more signatures</w:t>
      </w:r>
      <w:r>
        <w:t xml:space="preserve">] of the voter made within the preceding six years and on file with the county clerk or voter registrar to determine whether the signatures are those of the voter.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87.041(e),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u w:val="single"/>
        </w:rPr>
        <w:t xml:space="preserve">signature</w:t>
      </w:r>
      <w:r>
        <w:t xml:space="preserve"> [</w:t>
      </w:r>
      <w:r>
        <w:rPr>
          <w:strike/>
        </w:rPr>
        <w:t xml:space="preserve">two or more signatures</w:t>
      </w:r>
      <w:r>
        <w:t xml:space="preserve">]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container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the </w:t>
      </w:r>
      <w:r>
        <w:rPr>
          <w:u w:val="single"/>
        </w:rPr>
        <w:t xml:space="preserve">containers</w:t>
      </w:r>
      <w:r>
        <w:t xml:space="preserve"> [</w:t>
      </w:r>
      <w:r>
        <w:rPr>
          <w:strike/>
        </w:rPr>
        <w:t xml:space="preserve">container</w:t>
      </w:r>
      <w:r>
        <w:t xml:space="preserve">],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separately from the ballots voted by personal appearance and shall be separately reported on the returns</w:t>
      </w:r>
      <w:r>
        <w:t xml:space="preserve">  [</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w:t>
      </w:r>
      <w:r xml:space="preserve">
        <w:t> </w:t>
      </w:r>
      <w:r xml:space="preserve">
        <w:t> </w:t>
      </w:r>
      <w:r>
        <w:t xml:space="preserve">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87.042(c),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to Section 86.0051(d), Election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