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11,</w:t>
      </w:r>
      <w:r xml:space="preserve">
        <w:t> </w:t>
      </w:r>
      <w:r>
        <w:t xml:space="preserve">2019, read first time and referred to Committee on State Affairs; April</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1;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election integrity;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strike/>
        </w:rPr>
        <w:t xml:space="preserve">Class A misdemeanor, unless it is shown on the trial of an offense under this section that the person committed an offense under Section 64.036 for providing unlawful assistance to the same voter in connection with the same ballot, in which event the offense is a</w:t>
      </w:r>
      <w:r>
        <w:t xml:space="preserve">]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w:t>
      </w:r>
      <w:r>
        <w:rPr>
          <w:u w:val="single"/>
        </w:rPr>
        <w:t xml:space="preserve">signature</w:t>
      </w:r>
      <w:r>
        <w:t xml:space="preserve"> [</w:t>
      </w:r>
      <w:r>
        <w:rPr>
          <w:strike/>
        </w:rPr>
        <w:t xml:space="preserve">two or more signatures</w:t>
      </w:r>
      <w:r>
        <w:t xml:space="preserve">]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87.041(e),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u w:val="single"/>
        </w:rPr>
        <w:t xml:space="preserve">signature</w:t>
      </w:r>
      <w:r>
        <w:t xml:space="preserve"> [</w:t>
      </w:r>
      <w:r>
        <w:rPr>
          <w:strike/>
        </w:rPr>
        <w:t xml:space="preserve">two or more signatures</w:t>
      </w:r>
      <w:r>
        <w:t xml:space="preserve">]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container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the </w:t>
      </w:r>
      <w:r>
        <w:rPr>
          <w:u w:val="single"/>
        </w:rPr>
        <w:t xml:space="preserve">containers</w:t>
      </w:r>
      <w:r>
        <w:t xml:space="preserve"> [</w:t>
      </w:r>
      <w:r>
        <w:rPr>
          <w:strike/>
        </w:rPr>
        <w:t xml:space="preserve">container</w:t>
      </w:r>
      <w:r>
        <w:t xml:space="preserve">],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separately from the ballots voted by personal appearance and shall be separately reported on the returns</w:t>
      </w:r>
      <w:r>
        <w:t xml:space="preserve">  [</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w:t>
      </w:r>
      <w:r xml:space="preserve">
        <w:t> </w:t>
      </w:r>
      <w:r xml:space="preserve">
        <w:t> </w:t>
      </w:r>
      <w:r>
        <w:t xml:space="preserve">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86.0051(d), Election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