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2;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904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governmental communications systems to distribute political advertising;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255.003(a)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officer or employee of a political subdivision may not knowingly spend or authorize the spending of public funds</w:t>
      </w:r>
      <w:r>
        <w:rPr>
          <w:u w:val="single"/>
        </w:rPr>
        <w:t xml:space="preserve">, including by use of government communications systems, such as electronic communications,</w:t>
      </w:r>
      <w:r>
        <w:t xml:space="preserve"> for political advertising.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to a communication that factually describes the purposes of a </w:t>
      </w:r>
      <w:r>
        <w:rPr>
          <w:u w:val="single"/>
        </w:rPr>
        <w:t xml:space="preserve">ballot</w:t>
      </w:r>
      <w:r>
        <w:t xml:space="preserve"> measure if the communication does not advocate passage or defeat of the measure.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255.0031(d)(1),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"Internal mail system" means a system operated by a state agency or political subdivision to deliver written documents </w:t>
      </w:r>
      <w:r>
        <w:rPr>
          <w:u w:val="single"/>
        </w:rPr>
        <w:t xml:space="preserve">or electronic communications</w:t>
      </w:r>
      <w:r>
        <w:t xml:space="preserve"> to officers or employees of the agency or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255, Election Code, is amended by adding Sections 255.009 and 255.010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255.009.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MISUSE OF GOVERNMENT RESOURCES BY THIRD PARTY.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person, political campaign, or advocacy group may not misuse government resources by causing political advertising to be delivered to an e-mail address issued by this state or by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government-issued e-mail address receiving an e-mail described by Subsection (a), the person, political campaign, or advocacy group sending the e-mail is liable for a civil penalty of $100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a district attorney, or a county attorney notified the person, political campaign, or advocacy group that an e-mail was delivered in violation of Subsection (a);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person, political campaign, or advocacy group, after receiving notice of the violation, delivered an e-mail in violation of Subsection (a) to the same e-mail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a district attorney, or a county attorney may enforce this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255.010.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"electronic communications" means any communication facilitated by the use of any electronic device, including a cellular telephone, computer, computer network, personal data assistant, or pager. </w:t>
      </w:r>
      <w:r>
        <w:rPr>
          <w:u w:val="single"/>
        </w:rPr>
        <w:t xml:space="preserve"> </w:t>
      </w:r>
      <w:r>
        <w:rPr>
          <w:u w:val="single"/>
        </w:rPr>
        <w:t xml:space="preserve">The term includes e-mails, text messages, instant messages, and any communications made through a mobile application for electronic devices or through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