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906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money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89.002, Local Government Code, is transferred to Chapter 556, Government Code, redesignated as Section 556.0056, Government Code, and amended to read as follows:</w:t>
      </w:r>
    </w:p>
    <w:p w:rsidR="003F3435" w:rsidRDefault="0032493E">
      <w:pPr>
        <w:spacing w:line="480" w:lineRule="auto"/>
        <w:ind w:firstLine="720"/>
        <w:jc w:val="both"/>
      </w:pPr>
      <w:r>
        <w:t xml:space="preserve">Sec.</w:t>
      </w:r>
      <w:r xml:space="preserve">
        <w:t> </w:t>
      </w:r>
      <w:r>
        <w:rPr>
          <w:u w:val="single"/>
        </w:rPr>
        <w:t xml:space="preserve">556.0056</w:t>
      </w:r>
      <w:r xml:space="preserve">
        <w:t> </w:t>
      </w:r>
      <w:r xml:space="preserve">
        <w:t> </w:t>
      </w:r>
      <w:r>
        <w:t xml:space="preserve">[</w:t>
      </w:r>
      <w:r>
        <w:rPr>
          <w:strike/>
        </w:rPr>
        <w:t xml:space="preserve">89.002</w:t>
      </w:r>
      <w:r>
        <w:t xml:space="preserve">].</w:t>
      </w:r>
      <w:r xml:space="preserve">
        <w:t> </w:t>
      </w:r>
      <w:r xml:space="preserve">
        <w:t> </w:t>
      </w:r>
      <w:r>
        <w:rPr>
          <w:u w:val="single"/>
        </w:rPr>
        <w:t xml:space="preserve">LOBBYING ACTIVITIES; ASSOCIATIONS AND ORGANIZATIONS</w:t>
      </w:r>
      <w:r>
        <w:t xml:space="preserve"> [</w:t>
      </w:r>
      <w:r>
        <w:rPr>
          <w:strike/>
        </w:rPr>
        <w:t xml:space="preserve">STATE ASSOCIATION OF COUNTIES</w:t>
      </w:r>
      <w:r>
        <w:t xml:space="preserve">].  (a)  </w:t>
      </w:r>
      <w:r>
        <w:rPr>
          <w:u w:val="single"/>
        </w:rPr>
        <w:t xml:space="preserve">This section applies to any political subdivision, including 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may not spend public money to directly or indirectly influence or attempt to influence the outcome of any legislation pending before the legislature that may expand access to elective abortions by an abortion provider or an affiliate of an abortion provider.  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from providing information for a member of the legislature or appearing before a legislative committee at the request of the committee or the member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political subdivision from advocating for or against or otherwise influencing or attempting to influence the outcome of legislation pending before the legislature while acting as an officer of the political subdivision;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political subdivision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political subdivision engages in an activity prohibited by Subsection (b)</w:t>
      </w:r>
      <w:r>
        <w:t xml:space="preserve">, [</w:t>
      </w:r>
      <w:r>
        <w:rPr>
          <w:strike/>
        </w:rPr>
        <w:t xml:space="preserve">(b) If any association or organization supported wholly or partly by payments of tax receipts from political subdivisions engages in an activity described by Subsection (a)(4) or (5)</w:t>
      </w:r>
      <w:r>
        <w:t xml:space="preserve">], a taxpayer </w:t>
      </w:r>
      <w:r>
        <w:rPr>
          <w:u w:val="single"/>
        </w:rPr>
        <w:t xml:space="preserve">or resident</w:t>
      </w:r>
      <w:r>
        <w:t xml:space="preserve"> of </w:t>
      </w:r>
      <w:r>
        <w:rPr>
          <w:u w:val="single"/>
        </w:rPr>
        <w:t xml:space="preserve">the</w:t>
      </w:r>
      <w:r>
        <w:t xml:space="preserve"> [</w:t>
      </w:r>
      <w:r>
        <w:rPr>
          <w:strike/>
        </w:rPr>
        <w:t xml:space="preserve">a</w:t>
      </w:r>
      <w:r>
        <w:t xml:space="preserve">] political subdivision </w:t>
      </w:r>
      <w:r>
        <w:rPr>
          <w:u w:val="single"/>
        </w:rPr>
        <w:t xml:space="preserve">that engages in the prohibited activity</w:t>
      </w:r>
      <w:r>
        <w:t xml:space="preserve"> [</w:t>
      </w:r>
      <w:r>
        <w:rPr>
          <w:strike/>
        </w:rPr>
        <w:t xml:space="preserve">that pays fees or dues to the association or organization</w:t>
      </w:r>
      <w:r>
        <w:t xml:space="preserve">] is entitled to appropriate injunctive relief to prevent any further activity </w:t>
      </w:r>
      <w:r>
        <w:rPr>
          <w:u w:val="single"/>
        </w:rPr>
        <w:t xml:space="preserve">prohibited by Subsection (b)</w:t>
      </w:r>
      <w:r>
        <w:t xml:space="preserve"> [</w:t>
      </w:r>
      <w:r>
        <w:rPr>
          <w:strike/>
        </w:rPr>
        <w:t xml:space="preserve">described by Subsection (a)(4) or (5) or any further payments of fees or dues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taxpayer or resident who prevails in an action under Subsection (c)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556.0056, Government Code, as redesignated and amended by this Act, applies only to an expenditure or payment of public money by a political subdivision that is made on or after September 1, 2019. An expenditure or payment of public money by a political subdivision that is made before September 1, 2019, is governed by the law in effect on the date the expenditure or payment is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