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907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preservation and improvement of the Republic of Texas Granite Boundary Marker.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442, Government Code, is amended by adding Section 442.078 to read as follows:</w:t>
      </w:r>
    </w:p>
    <w:p w:rsidR="003F3435" w:rsidRDefault="0032493E">
      <w:pPr>
        <w:spacing w:line="480" w:lineRule="auto"/>
        <w:ind w:firstLine="720"/>
        <w:jc w:val="both"/>
      </w:pPr>
      <w:r>
        <w:rPr>
          <w:u w:val="single"/>
        </w:rPr>
        <w:t xml:space="preserve">Sec. 442.078. </w:t>
      </w:r>
      <w:r>
        <w:rPr>
          <w:u w:val="single"/>
        </w:rPr>
        <w:t xml:space="preserve"> </w:t>
      </w:r>
      <w:r>
        <w:rPr>
          <w:u w:val="single"/>
        </w:rPr>
        <w:t xml:space="preserve">REPUBLIC OF TEXAS GRANITE BOUNDARY MARKER. (a) In this section, the "Republic of Texas Granite Boundary Marker"</w:t>
      </w:r>
      <w:r>
        <w:rPr>
          <w:u w:val="single"/>
        </w:rPr>
        <w:t xml:space="preserve"> </w:t>
      </w:r>
      <w:r>
        <w:rPr>
          <w:u w:val="single"/>
        </w:rPr>
        <w:t xml:space="preserve">means the granite marker originally placed in 1841 to mark the international boundary between the Republic of Texas and the United States, located at or about 32°2'3"N, 94°2'35"W.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build facilities sufficient to accommodate visitors and protect, preserve, and display the Republic of Texas Granite Boundary Marker;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display historical and educational information and exhibits at the site to educate the public on the history of the marker and the region;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cooperate with the federal government as necessary to facilitate the powers and responsibilities granted in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other action as necessary to preserve, maintain in a state of suitable repair, restore, and develop the Republic of Texas Granite Boundary Marker and the grounds immediately surrounding the marker, in the manner determined by the commission, for the beautification and cultural enhancement of the property as a significant Texas historical 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power or duty related to the Republic of Texas Granite Boundary Marker formerly vested in another state agency or entity is vested solely in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spend the money the legislature appropriates for purposes of this section to accomplish those purposes.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solicit and accept gifts, donations, and grants of money or property from any public or private source to be used for the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