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86R8864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suspension of operations of water districts that have failed to follow a court order or administrative directive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Water Code, is amended by adding Section 12.0815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12.0815.</w:t>
      </w:r>
      <w:r>
        <w:rPr>
          <w:u w:val="single"/>
        </w:rPr>
        <w:t xml:space="preserve"> </w:t>
      </w:r>
      <w:r>
        <w:rPr>
          <w:u w:val="single"/>
        </w:rPr>
        <w:t xml:space="preserve"> </w:t>
      </w:r>
      <w:r>
        <w:rPr>
          <w:u w:val="single"/>
        </w:rPr>
        <w:t xml:space="preserve">SUSPENSION OF OPERATIONS.  (a) </w:t>
      </w:r>
      <w:r>
        <w:rPr>
          <w:u w:val="single"/>
        </w:rPr>
        <w:t xml:space="preserve"> </w:t>
      </w:r>
      <w:r>
        <w:rPr>
          <w:u w:val="single"/>
        </w:rPr>
        <w:t xml:space="preserve">This section applies to a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written notice to a district that has failed to follow a court order or commission directive that the district must comply with the court order or commission directive.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district receives the notice under Subsection (b), the commission may suspend operations of the district if the commission has not received a response to the notice from the district, or has received an inadequate response.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suspends operations of a district under this section, the commission shall request that the attorney general bring suit for the appointment of a receiver to collect the assets and carry on the business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shall appoint a receiver if an appointment is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guarantee the collection of assessments, fees, penalties, or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guarantee the continuous and adequate service to the customers of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prevent continued or repeated violation of the court order or commission directive.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receiver shall execute a bond to assure the proper performance of the receiver's duties in an amount to be set by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appointment and execution of bond, the receiver shall take possession of the assets of the district specified by the court.  Until discharged by the court, the receiver shall perform the duties that the court directs to preserve the assets and carry on the business of the district and shall strictly observe the court order involved.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a showing of good cause by the district, the court may dissolve the receivership and order the assets and control of the business returned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