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programs provided by a local mental health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bimonthly basis, providing personnel with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bimonthly basis, providing personnel with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an annual basis, providing personnel with training regarding the effects of grief and trauma and providing support to children with intellectual or developmental disabilities who suffer from grief or trauma.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