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86R10455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MINOR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 minor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