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20,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[</w:t>
      </w:r>
      <w:r>
        <w:rPr>
          <w:strike/>
        </w:rPr>
        <w:t xml:space="preserve">: </w:t>
      </w:r>
      <w:r>
        <w:rPr>
          <w:strike/>
        </w:rPr>
        <w:t xml:space="preserve"> </w:t>
      </w:r>
      <w:r>
        <w:rPr>
          <w:strike/>
        </w:rPr>
        <w:t xml:space="preserve">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</w:t>
      </w:r>
      <w:r>
        <w:t xml:space="preserve"> </w:t>
      </w:r>
      <w:r>
        <w:t xml:space="preserve">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