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933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education agency" includes a school district or county system described by Subchapter G, Chapter 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w:t>
      </w:r>
      <w:r>
        <w:rPr>
          <w:u w:val="single"/>
        </w:rPr>
        <w:t xml:space="preserve">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w:t>
      </w:r>
      <w:r>
        <w:rPr>
          <w:u w:val="single"/>
        </w:rPr>
        <w:t xml:space="preserve"> </w:t>
      </w:r>
      <w:r>
        <w:rPr>
          <w:u w:val="single"/>
        </w:rPr>
        <w:t xml:space="preserve">The inspector general serves until removed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staff and administrative resources and support services as necessary to ensure investigations and reviews authorized by this subchapter are conducted expeditiously.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w:t>
      </w:r>
      <w:r>
        <w:rPr>
          <w:u w:val="single"/>
        </w:rPr>
        <w:t xml:space="preserve"> </w:t>
      </w:r>
      <w:r>
        <w:rPr>
          <w:u w:val="single"/>
        </w:rPr>
        <w:t xml:space="preserve"> </w:t>
      </w:r>
      <w:r>
        <w:rPr>
          <w:u w:val="single"/>
        </w:rPr>
        <w:t xml:space="preserve">The office is responsible for the investigation, prevention, and detection of wrongdoing and of fraud, waste, and abuse in the administration of public education by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civil and administrative investigations and initiate reviews of a school district, an open-enrollment charter school, a regional education service center, or another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findings of fact that a school district, an open-enrollment charter school, a regional education service center, or another local education agency or an employee or agent of the entity committed an act of wrongdoing, fraud, waste, or abuse in the administration of public education and take appropriate action as determined by the commissioner, regardless of any time requirement relating to the action under Chapter 8, 12, or 39A.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order the office to conduct a forensic audit of any entity over which the office has jurisdiction. </w:t>
      </w:r>
      <w:r>
        <w:rPr>
          <w:u w:val="single"/>
        </w:rPr>
        <w:t xml:space="preserve"> </w:t>
      </w:r>
      <w:r>
        <w:rPr>
          <w:u w:val="single"/>
        </w:rPr>
        <w:t xml:space="preserve">The entity for which the audit was ordered shall pay the costs of the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perform all other duties and exercise all other powers granted to the office by this subchapter or another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(a)</w:t>
      </w:r>
      <w:r>
        <w:rPr>
          <w:u w:val="single"/>
        </w:rPr>
        <w:t xml:space="preserve"> </w:t>
      </w:r>
      <w:r>
        <w:rPr>
          <w:u w:val="single"/>
        </w:rPr>
        <w:t xml:space="preserve"> </w:t>
      </w:r>
      <w:r>
        <w:rPr>
          <w:u w:val="single"/>
        </w:rPr>
        <w:t xml:space="preserve">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conducting an investigation under this subchapter of the board of trustees of a school district, the governing body of an open-enrollment charter school, the board of directors of a regional education service center, another local education agency, or the executive leadership of any of those entities,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any meeting or proceeding of the school district, open-enrollment charter school, regional education service center, or other local education agency, including a meeting or proceeding that is closed to the public, except for a private consultation of the entity with its attorney permitted under Section 551.071,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of the school district, open-enrollment charter school, regional education service center, or other local education agency, including any record, document, or file that is not subject to public disclosure under Chapter 552, Government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office's authority under Subsection (b) applies only to a meeting, a proceeding, or information that is relevant to the discovery of relevant information regarding an allegation of wrongdoing or a violation of this code or of fraud, waste, or abuse in the administration of public education by a person or entity described by Subsection (b). </w:t>
      </w:r>
      <w:r>
        <w:rPr>
          <w:u w:val="single"/>
        </w:rPr>
        <w:t xml:space="preserve"> </w:t>
      </w:r>
      <w:r>
        <w:rPr>
          <w:u w:val="single"/>
        </w:rPr>
        <w:t xml:space="preserve">The office may not inspect a record, document, or file that is a privileged communication between an individual and the individual's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or disclosure of a record, document, or file for purposes of an investigation under this subchapter is not a voluntary disclosure under Section 552.007, Government Code. </w:t>
      </w:r>
      <w:r>
        <w:rPr>
          <w:u w:val="single"/>
        </w:rPr>
        <w:t xml:space="preserve"> </w:t>
      </w:r>
      <w:r>
        <w:rPr>
          <w:u w:val="single"/>
        </w:rPr>
        <w:t xml:space="preserve">A record, document, or file made available to the office for purposes of an investigation under this subchapter is not subject to public disclosure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w:t>
      </w:r>
      <w:r>
        <w:rPr>
          <w:u w:val="single"/>
        </w:rPr>
        <w:t xml:space="preserve"> </w:t>
      </w:r>
      <w:r>
        <w:rPr>
          <w:u w:val="single"/>
        </w:rPr>
        <w:t xml:space="preserve"> </w:t>
      </w:r>
      <w:r>
        <w:rPr>
          <w:u w:val="single"/>
        </w:rPr>
        <w:t xml:space="preserve">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OTHER ENTITIES.  The office may refer matters for further civil and administrative action to appropriate administrative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