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86R6107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the requirements relating to the adoption of a new state agency rule by the Parks and Wildlife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2001.0045(c),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 a rule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relates to state agency procurement;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amended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reduce the burden or responsibilities imposed on regulated persons by the rule;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decrease the persons' cost for compliance with the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adopted in response to a natural disaster;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necessary to receive a source of federal funds or to comply with federal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necessary to protect water resources of this state as authorized by the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necessary to protect the health, safety, and welfare of the residents of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adopted by the Department of Family and Protective Services, </w:t>
      </w:r>
      <w:r>
        <w:rPr>
          <w:u w:val="single"/>
        </w:rPr>
        <w:t xml:space="preserve">Texas</w:t>
      </w:r>
      <w:r>
        <w:t xml:space="preserve"> Department of Motor Vehicles, </w:t>
      </w:r>
      <w:r>
        <w:rPr>
          <w:u w:val="single"/>
        </w:rPr>
        <w:t xml:space="preserve">Parks and Wildlife Department,</w:t>
      </w:r>
      <w:r>
        <w:t xml:space="preserve"> Public Utility Commission </w:t>
      </w:r>
      <w:r>
        <w:rPr>
          <w:u w:val="single"/>
        </w:rPr>
        <w:t xml:space="preserve">of Texas</w:t>
      </w:r>
      <w:r>
        <w:t xml:space="preserve">, Texas Commission on Environmental Quality, or Texas Racing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is adopted by a self-directed semi-independent agency;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is necessary to implement legislation, unless the legislature specifically states this section applies to the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rule proposed by a state agency on or after the effective date of this Act.  A rule proposed before that date is governed by the law in effect on the date the rule was proposed,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