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939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21,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Business &amp; Commerce;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939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limitations periods for certain suits against real estate appraisers and appraisal firms.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16, Civil Practice and Remedies Code, is amended by adding Section 16.013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 ESTATE APPRAISERS AND APPRAISAL FIRMS.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"Appraisal" has the meaning assigned by Section 1103.003,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 review" has the meaning assigned by Section 1104.003,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appraisal firm" means an entity engaging a real estate appraiser as an owner, member, shareholder, partner, employee, or independent contractor to perform an appraisal or appraisal review.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appraiser" means an individual licensed or certified under Chapter 1103,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for a suit based on fraud or breach of contract, a person must bring suit for damages or other relief arising from an appraisal or appraisal review conducted by a real estate appraiser or appraisal firm not later than the earlier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years after the day the person knew or should have known the facts on which the action is based;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five years after the day the appraisal or appraisal review was completed.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16.013, Civil Practice and Remedies Code, as added by this Act,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939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