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944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944</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"Protected health information" as defined by Section 181.006, Health and Safety Code, is not public information and is not subject to disclosure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xml:space="preserve">
        <w:t> </w:t>
      </w:r>
      <w:r xml:space="preserve">
        <w:t> </w:t>
      </w:r>
      <w:r>
        <w:t xml:space="preserve">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in a backup or archive and on the privately owned device for the time described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w:t>
      </w:r>
      <w:r>
        <w:rPr>
          <w:u w:val="single"/>
        </w:rPr>
        <w:t xml:space="preserve"> </w:t>
      </w:r>
      <w:r>
        <w:rPr>
          <w:u w:val="single"/>
        </w:rPr>
        <w:t xml:space="preserve"> </w:t>
      </w:r>
      <w:r>
        <w:rPr>
          <w:u w:val="single"/>
        </w:rPr>
        <w:t xml:space="preserve">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METHOD OF MAKING WRITTEN REQUEST FOR PUBLIC INFORMATION.  (a)</w:t>
      </w:r>
      <w:r>
        <w:rPr>
          <w:u w:val="single"/>
        </w:rPr>
        <w:t xml:space="preserve"> </w:t>
      </w:r>
      <w:r>
        <w:rPr>
          <w:u w:val="single"/>
        </w:rPr>
        <w:t xml:space="preserve"> </w:t>
      </w:r>
      <w:r>
        <w:rPr>
          <w:u w:val="single"/>
        </w:rPr>
        <w:t xml:space="preserve">A person may make a written request for public information under this chapter only by delivering the request by one of the following methods to the applicable officer for public information or a person designated by that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appropriate method approved by the governmental body,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facsimile transmission;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submission through the governmental body's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(a)(4), a governmental body is considered to have approved a method described by that subdivision only if the governmental body includes a statement that a request for public information may be made by that method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 required to be displayed by the governmental body under Section 552.205;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designate one mailing address and one electronic mail address for receiving written requests for public information. </w:t>
      </w:r>
      <w:r>
        <w:rPr>
          <w:u w:val="single"/>
        </w:rPr>
        <w:t xml:space="preserve"> </w:t>
      </w:r>
      <w:r>
        <w:rPr>
          <w:u w:val="single"/>
        </w:rPr>
        <w:t xml:space="preserve">The governmental body shall provide the designated mailing address and electronic mailing address to any person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552.205 is not required to respond to a written request for public information unless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one of those addresses;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hand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method described by Subsection (a)(4) that has been approved by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w:t>
      </w:r>
      <w:r>
        <w:rPr>
          <w:u w:val="single"/>
        </w:rPr>
        <w:t xml:space="preserve"> </w:t>
      </w:r>
      <w:r>
        <w:rPr>
          <w:u w:val="single"/>
        </w:rPr>
        <w:t xml:space="preserve"> </w:t>
      </w:r>
      <w:r>
        <w:rPr>
          <w:u w:val="single"/>
        </w:rPr>
        <w:t xml:space="preserve">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552.301(c),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