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86R12030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a commercial hazardous waste management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361.003(4), Health and Safety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"Commercial hazardous waste management facility" means any hazardous waste management facility that accepts hazardous waste or PCBs </w:t>
      </w:r>
      <w:r>
        <w:rPr>
          <w:u w:val="single"/>
        </w:rPr>
        <w:t xml:space="preserve">other than</w:t>
      </w:r>
      <w:r>
        <w:t xml:space="preserve"> [</w:t>
      </w:r>
      <w:r>
        <w:rPr>
          <w:strike/>
        </w:rPr>
        <w:t xml:space="preserve">for a charge, except a captured facility or a facility that accepts waste only from other facilities owned or effectively controlled by the same person, where "captured facility" means</w:t>
      </w:r>
      <w:r>
        <w:t xml:space="preserve">] a manufacturing or production facility that generates an industrial solid waste or hazardous waste that is routinely stored, processed, or disposed of [</w:t>
      </w:r>
      <w:r>
        <w:rPr>
          <w:strike/>
        </w:rPr>
        <w:t xml:space="preserve">on a shared basis</w:t>
      </w:r>
      <w:r>
        <w:t xml:space="preserve">] in an integrated waste management unit owned, operated by, and located within a contiguous manufacturing complex.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