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86R30718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952</w:t>
      </w:r>
    </w:p>
    <w:p w:rsidR="003F3435" w:rsidRDefault="0032493E">
      <w:pPr>
        <w:ind w:firstLine="720"/>
        <w:jc w:val="both"/>
      </w:pPr>
      <w:r>
        <w:t xml:space="preserve">(Lucio III, Miller)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952:</w:t>
      </w: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C.S.S.B.</w:t>
      </w:r>
      <w:r xml:space="preserve">
        <w:t> </w:t>
      </w:r>
      <w:r>
        <w:t xml:space="preserve">No.</w:t>
      </w:r>
      <w:r xml:space="preserve">
        <w:t> </w:t>
      </w:r>
      <w:r>
        <w:t xml:space="preserve">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standards for nutrition, physical activity, and screen time for certain child-care facilities and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Subsections (e-3), (e-4), and (e-5) to read as follows: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minimum standards for a day-care center or registered family home adopted under Subsection (e) must be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American Academy of Pediatrics standards for physical activity and screen time as published in Caring for Our Children: National Health and Safety Performance Standards; Guidelines for Early Care and Education Programs, 4th Edition;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nutrition standards in the Child and Adult Care Food Program administered by the Department of Agriculture.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day-care center or registered family home is not required to participate in or comply with the reporting requirements of the Child and Adult Care Food Program administered by the Department of Agriculture.</w:t>
      </w:r>
    </w:p>
    <w:p w:rsidR="003F3435" w:rsidRDefault="0032493E">
      <w:pPr>
        <w:spacing w:line="480" w:lineRule="auto"/>
        <w:ind w:firstLine="720"/>
        <w:jc w:val="both"/>
      </w:pPr>
      <w:r>
        <w:rPr>
          <w:u w:val="single"/>
        </w:rPr>
        <w:t xml:space="preserve">(e-5)</w:t>
      </w:r>
      <w:r>
        <w:rPr>
          <w:u w:val="single"/>
        </w:rPr>
        <w:t xml:space="preserve"> </w:t>
      </w:r>
      <w:r>
        <w:rPr>
          <w:u w:val="single"/>
        </w:rPr>
        <w:t xml:space="preserve"> </w:t>
      </w:r>
      <w:r>
        <w:rPr>
          <w:u w:val="single"/>
        </w:rPr>
        <w:t xml:space="preserve">If the commission determines that the economic impact of requiring a day-care center or registered family home to comply with a minimum standard adopted under Subsection (e-3) is sufficiently great to make compliance impractical, the commission may require the day-care center or registered family home to meet the guidelines of the minimum standard through an alternative method.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