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86R3409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standards for nutrition, physical activity, and screen time for certain child-care facilities and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(e-3) and (e-4) to read as follows: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minimum standards adopted under Subsection (e) must be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American Academy of Pediatrics standards for physical activity and screen time as published in Caring for Our Children: National Health and Safety Performance Standards; Guidelines for Early Care and Education Programs, 3rd Edition;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nutrition standards in the Child and Adult Care Food Program administered by the Department of Agriculture.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licensed child-care facility or registered family home is not required to participate in or comply with the reporting requirements of the Child and Adult Care Food Program administered by the Department of Agriculture.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