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955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matters that a taxing unit is entitled to challenge before an appraisal review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41.03(a), Tax Code, is amended to read as follows:</w:t>
      </w:r>
    </w:p>
    <w:p w:rsidR="003F3435" w:rsidRDefault="0032493E">
      <w:pPr>
        <w:spacing w:line="480" w:lineRule="auto"/>
        <w:ind w:firstLine="720"/>
        <w:jc w:val="both"/>
      </w:pPr>
      <w:r>
        <w:t xml:space="preserve">(a)</w:t>
      </w:r>
      <w:r xml:space="preserve">
        <w:t> </w:t>
      </w:r>
      <w:r xml:space="preserve">
        <w:t> </w:t>
      </w:r>
      <w:r>
        <w:t xml:space="preserve">A taxing unit is entitled to challenge before the appraisal review board:</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the level of appraisals of any category of property in the district or in any territory in the district, but not the appraised value of a single taxpayer's property;</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an exclusion of property from the appraisal records;</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a grant in whole or in part of a partial exemption;</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a determination that land qualifies for appraisal as provided by Subchapter C, D, E, or H, Chapter 23; or</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failure to identify the taxing unit as one in which a particular property is taxable.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challenge under Chapter 41, Tax Code, for which a challenge petition is filed on or after the effective date of this Act. </w:t>
      </w:r>
      <w:r>
        <w:t xml:space="preserve"> </w:t>
      </w:r>
      <w:r>
        <w:t xml:space="preserve">A challenge under Chapter 41, Tax Code, for which a challenge petition was filed before the effective date of this Act is governed by the law in effect on the date the challenge petition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