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955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21,</w:t>
      </w:r>
      <w:r xml:space="preserve">
        <w:t> </w:t>
      </w:r>
      <w:r>
        <w:t xml:space="preserve">2019; March</w:t>
      </w:r>
      <w:r xml:space="preserve">
        <w:t> </w:t>
      </w:r>
      <w:r>
        <w:t xml:space="preserve">1,</w:t>
      </w:r>
      <w:r xml:space="preserve">
        <w:t> </w:t>
      </w:r>
      <w:r>
        <w:t xml:space="preserve">2019, read first time and referred to Committee on Property Tax; March</w:t>
      </w:r>
      <w:r xml:space="preserve">
        <w:t> </w:t>
      </w:r>
      <w:r>
        <w:t xml:space="preserve">14,</w:t>
      </w:r>
      <w:r xml:space="preserve">
        <w:t> </w:t>
      </w:r>
      <w:r>
        <w:t xml:space="preserve">2019, reported favorably by the following vote:</w:t>
      </w:r>
      <w:r>
        <w:t xml:space="preserve"> </w:t>
      </w:r>
      <w:r>
        <w:t xml:space="preserve"> </w:t>
      </w:r>
      <w:r>
        <w:t xml:space="preserve">Yeas</w:t>
      </w:r>
      <w:r xml:space="preserve">
        <w:t> </w:t>
      </w:r>
      <w:r>
        <w:t xml:space="preserve">5, Nays</w:t>
      </w:r>
      <w:r xml:space="preserve">
        <w:t> </w:t>
      </w:r>
      <w:r>
        <w:t xml:space="preserve">0; March</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matters that a taxing unit is entitled to challenge before an appraisal review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exclusion of property from the appraisal records;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grant in whole or in part of a partial exemption;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challenge under Chapter 41, Tax Code, for which a challenge petition is filed on or after the effective date of this Act. </w:t>
      </w:r>
      <w:r>
        <w:t xml:space="preserve"> </w:t>
      </w:r>
      <w:r>
        <w:t xml:space="preserve">A challenge under Chapter 41, Tax Code, for which a challenge petition was filed before the effective date of this Act is governed by the law in effect on the date the challenge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