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86R6879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1366.001.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w:t>
      </w:r>
      <w:r>
        <w:rPr>
          <w:u w:val="single"/>
        </w:rPr>
        <w:t xml:space="preserve"> </w:t>
      </w:r>
      <w:r>
        <w:rPr>
          <w:u w:val="single"/>
        </w:rPr>
        <w:t xml:space="preserve">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