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86R4250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Perry</w:t>
      </w:r>
      <w:r xml:space="preserve">
        <w:tab wTab="150" tlc="none" cTlc="0"/>
      </w:r>
      <w:r>
        <w:t xml:space="preserve">S.B.</w:t>
      </w:r>
      <w:r xml:space="preserve">
        <w:t> </w:t>
      </w:r>
      <w:r>
        <w:t xml:space="preserve">No.</w:t>
      </w:r>
      <w:r xml:space="preserve">
        <w:t> </w:t>
      </w:r>
      <w:r>
        <w:t xml:space="preserve">960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a person's voter registration on notice that the person has acknowledged that the person is not a citizen;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other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 Election Code, is amended by adding Subchapter B-1 to read as follows:</w:t>
      </w:r>
    </w:p>
    <w:p w:rsidR="003F3435" w:rsidRDefault="0032493E">
      <w:pPr>
        <w:spacing w:line="480" w:lineRule="auto"/>
        <w:jc w:val="center"/>
      </w:pPr>
      <w:r>
        <w:rPr>
          <w:u w:val="single"/>
        </w:rPr>
        <w:t xml:space="preserve">SUBCHAPTER B-1. VOTER REGISTRAR WHO FAILS TO CANCEL REGISTRATION OF NONCITIZEN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16.051.</w:t>
      </w:r>
      <w:r>
        <w:rPr>
          <w:u w:val="single"/>
        </w:rPr>
        <w:t xml:space="preserve"> </w:t>
      </w:r>
      <w:r>
        <w:rPr>
          <w:u w:val="single"/>
        </w:rPr>
        <w:t xml:space="preserve"> </w:t>
      </w:r>
      <w:r>
        <w:rPr>
          <w:u w:val="single"/>
        </w:rPr>
        <w:t xml:space="preserve">CIVIL PENALTY.  (a)  A voter registrar who intentionally violates Section 16.031(a)(8) is subject to a civil penalty in an amount: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Sovereign immunity of this state and governmental immunity of a county and municipality to suit is waived and abolished to the extent of liability created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16.052.</w:t>
      </w:r>
      <w:r>
        <w:rPr>
          <w:u w:val="single"/>
        </w:rPr>
        <w:t xml:space="preserve"> </w:t>
      </w:r>
      <w:r>
        <w:rPr>
          <w:u w:val="single"/>
        </w:rPr>
        <w:t xml:space="preserve"> </w:t>
      </w:r>
      <w:r>
        <w:rPr>
          <w:u w:val="single"/>
        </w:rPr>
        <w:t xml:space="preserve">REMOVAL OF REGISTRAR.  (a)  For purposes of Section 66.001, Civil Practice and Remedies Code, a voter registrar holding a public office does an act that causes the forfeiture of the person's office if the person violates Section 16.031(a)(8).  The attorney general shall file a petition under Section 66.002, Civil Practice and Remedies Code, against the registrar if presented with evidence, including evidence of a statement by the registrar, establishing probable grounds that the registrar engaged in conduct described by this subsection.  The court in which the petition is filed shall give precedence to proceedings relating to the petition in the same manner as provided for the priority of an election contest under Section 23.101, Government Code. If the registrar is found guilty as charged, the court shall enter judgment removing the registrar from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employment of a county elections administrator who violates Section 16.031(a)(8) shall be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16.053.</w:t>
      </w:r>
      <w:r>
        <w:rPr>
          <w:u w:val="single"/>
        </w:rPr>
        <w:t xml:space="preserve"> </w:t>
      </w:r>
      <w:r>
        <w:rPr>
          <w:u w:val="single"/>
        </w:rPr>
        <w:t xml:space="preserve"> </w:t>
      </w:r>
      <w:r>
        <w:rPr>
          <w:u w:val="single"/>
        </w:rPr>
        <w:t xml:space="preserve">CRIMINAL PENALTY.  (a)  A voter registrar commits an offense if the registrar knowingly fails to comply with Section 16.031(a)(8).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this section that the person whose voter registration was required to be canceled under Section 16.031(a)(3) had provided proof to the voter registrar that the person is a citizen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quarterly compare the information received under Section 16.001 of this code and Section 62.113, Government Code, to the statewide computerized voter registration list. </w:t>
      </w:r>
      <w:r>
        <w:t xml:space="preserve"> </w:t>
      </w:r>
      <w:r>
        <w:t xml:space="preserve">If the secretary determines that a voter on the registration list is deceased or has been excused or disqualified from jury service because the voter is not a citizen,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who shall quarterly review the information to investigate whether a person has committed an offense under Section 13.007 or other law</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 [</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62.113(b)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rPr>
          <w:u w:val="single"/>
        </w:rPr>
        <w:t xml:space="preserve">the county official responsible for administering elections;</w:t>
      </w:r>
    </w:p>
    <w:p w:rsidR="003F3435" w:rsidRDefault="0032493E">
      <w:pPr>
        <w:spacing w:line="480" w:lineRule="auto"/>
        <w:ind w:firstLine="1440"/>
        <w:jc w:val="both"/>
      </w:pPr>
      <w:r>
        <w:rPr>
          <w:u w:val="single"/>
        </w:rPr>
        <w:t xml:space="preserve">(3)</w:t>
      </w:r>
      <w:r xml:space="preserve">
        <w:t> </w:t>
      </w:r>
      <w:r xml:space="preserve">
        <w:t> </w:t>
      </w:r>
      <w:r>
        <w:t xml:space="preserve">the secretary of state;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county or district attorney, as applicable, </w:t>
      </w:r>
      <w:r>
        <w:rPr>
          <w:u w:val="single"/>
        </w:rPr>
        <w:t xml:space="preserve">or attorney general</w:t>
      </w:r>
      <w:r>
        <w:t xml:space="preserve"> </w:t>
      </w:r>
      <w:r>
        <w:t xml:space="preserve">for an investigation of whether the person committed an offense under Section 13.007 </w:t>
      </w:r>
      <w:r>
        <w:rPr>
          <w:u w:val="single"/>
        </w:rPr>
        <w:t xml:space="preserve">or 64.012</w:t>
      </w:r>
      <w:r>
        <w:t xml:space="preserve">, Election Code, or other law.</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w:t>
      </w:r>
      <w:r>
        <w:rPr>
          <w:u w:val="single"/>
        </w:rPr>
        <w:t xml:space="preserve">16.031(a)(8)</w:t>
      </w:r>
      <w:r>
        <w:t xml:space="preserve"> [</w:t>
      </w:r>
      <w:r>
        <w:rPr>
          <w:strike/>
        </w:rPr>
        <w:t xml:space="preserve">16.0332</w:t>
      </w:r>
      <w:r>
        <w:t xml:space="preserve">] or 18.068, Election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16.0332, Election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