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86R8092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963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county contracts for emergency management consulting services; requiring a license;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418, Government Code, is amended by adding Section 418.1016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418.1016.</w:t>
      </w:r>
      <w:r>
        <w:rPr>
          <w:u w:val="single"/>
        </w:rPr>
        <w:t xml:space="preserve"> </w:t>
      </w:r>
      <w:r>
        <w:rPr>
          <w:u w:val="single"/>
        </w:rPr>
        <w:t xml:space="preserve"> </w:t>
      </w:r>
      <w:r>
        <w:rPr>
          <w:u w:val="single"/>
        </w:rPr>
        <w:t xml:space="preserve">COUNTY CONTRACTS FOR EMERGENCY MANAGEMENT CONSULTING SERVICES; LICENSE REQUIRED; FEES.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manager" means a person who is licensed under this section by the licensing department to provide consulting services on emergency management issues to counties.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"Licensing department" means the Texas Department of Licensing and Regulation.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county shall contract with an emergency manager for consulting and other services related to emergency management in the event of a disaster that affects the territory of the county. </w:t>
      </w:r>
      <w:r>
        <w:rPr>
          <w:u w:val="single"/>
        </w:rPr>
        <w:t xml:space="preserve"> </w:t>
      </w:r>
      <w:r>
        <w:rPr>
          <w:u w:val="single"/>
        </w:rPr>
        <w:t xml:space="preserve">A county may comply with the requirement under this subsection by jointly contracting with one or more other counties as provided by Chapter 791 for the services of an emergency manager.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provide consulting or other services related to emergency management under a contract with a county as provided by Subsection (b) unless that person holds a license issued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licensing department by rule shall establish procedures for administering the licensing of emergency managers, including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applying for and issuing or denying the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renewing or revoking the license;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taking any required examination.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be eligible for a license under this section,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successfully complete the educational program established under Subsection (f)(1);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requirements of the licensing department established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curriculum standards for an educational program required to obtain a license issued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curriculum standards for continuing education programs required to renew a license issued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minimum qualifications for instructors providing instruction as part of an educational program described by Subdivision (1) or a continuing education program described by Subdivision (2).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division may update minimum standards or qualifications established under Subsection (f) on approval of the licensing department.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licensing department may set fees in amounts reasonable and necessary to cover the cost of administering the licensing program established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of Licensing and Regulation and the Texas Division of Emergency Management shall adopt rules necessary to implement Section 418.1016,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county shall comply with Section 418.1016(b), Government Code, as added by this Act, not later than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