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86R9334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plumbing, air conditioning, and electrical services performed as a volunteer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8, Occupations Code, is amended by adding Chapter 1306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1306. VOLUNTEER SERVICES DURING DISASTER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1306.001.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 holder" means a person who holds a license, endorsement, registration, or other authorization required to engage in an occupation or activity regulated under Chapter 1301, 1302, or 1305.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"Technical services" means services for which a license holder is required to hold a license, endorsement, registration, or other authorization issued under Chapter 1301, 1302, or 1305 to provide the services.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1306.002.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VOLUNTEER SERVICES DURING DISASTER.  (a) </w:t>
      </w:r>
      <w:r>
        <w:rPr>
          <w:u w:val="single"/>
        </w:rPr>
        <w:t xml:space="preserve"> </w:t>
      </w:r>
      <w:r>
        <w:rPr>
          <w:u w:val="single"/>
        </w:rPr>
        <w:t xml:space="preserve">A license holder employed by the United States government or licensed in another state may perform technical services as a volunteer in this state without holding a license issued in this state during a disaster: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the state emergency management plan, adopted under Section 418.042, Government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declared by the governor or the president of the United States.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supervision requirement under Chapter 1301, 1302, or 1305 does not apply to technical services performed by a license holder as a volunteer during circumstances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technical services performed by a license holder for compensation or other remuneration.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Public Safety Commission shall adopt any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Public Safety Commission shall adopt rules as necessary to implement Chapter 1306,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