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86R11411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consequences of a criminal conviction on a person's eligibility for an occupational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53.021(a-1),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rPr>
          <w:u w:val="single"/>
        </w:rPr>
        <w:t xml:space="preserve">Subsections (a)(1), (3), and (4) do</w:t>
      </w:r>
      <w:r>
        <w:t xml:space="preserve"> [</w:t>
      </w:r>
      <w:r>
        <w:rPr>
          <w:strike/>
        </w:rPr>
        <w:t xml:space="preserve">Subsection (a) does</w:t>
      </w:r>
      <w:r>
        <w:t xml:space="preserve">] not apply to a person who has been convicted only of an offense punishable as a Class C misdemeanor</w:t>
      </w:r>
      <w:r>
        <w:rPr>
          <w:u w:val="single"/>
        </w:rPr>
        <w:t xml:space="preserve">, and Subsection (a)(2) does not apply to a person who has been convicted only of an offense punishable as a Class B or C misdemeanor,</w:t>
      </w:r>
      <w:r>
        <w:t xml:space="preserve"> unless: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person is an applicant for or the holder of a license that authorizes the person to possess a firearm;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offense for which the person was convicted is a misdemeanor crime of domestic violence as that term is defined by 18 U.S.C. Section 921.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an application for, or a disciplinary proceeding regarding, a license or other authorization that is pending with a licensing authority on the effective date of this Act or an application filed or a disciplinary proceeding commenced on or after that date.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