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1;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location of certain temporary branch early voting polling places.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85.062, Election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county with a population of 100,000 or more, the location of a movable temporary branch polling place established under this section may be changed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once during the early voting period;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at least half of the early voting period has concluded.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