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86R11280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967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of and requirements for certain child-care facilities that detain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42.0415.</w:t>
      </w:r>
      <w:r>
        <w:rPr>
          <w:u w:val="single"/>
        </w:rPr>
        <w:t xml:space="preserve"> </w:t>
      </w:r>
      <w:r>
        <w:rPr>
          <w:u w:val="single"/>
        </w:rPr>
        <w:t xml:space="preserve"> </w:t>
      </w:r>
      <w:r>
        <w:rPr>
          <w:u w:val="single"/>
        </w:rPr>
        <w:t xml:space="preserve">STANDARD LICENSE REQUIREMENTS; WAIVER PROHIBITED.  (a)  The commission shall issue or renew a license of a child-care facility that is operated by or under a contract with United States Immigration and Customs Enforcement to enforce federal immigration laws and that detains children, in the same manner and subject to the same requirements as the commission issues or renews a license for any other child-care facility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waive any licensing requirement, including minimum standards, for a child-care facility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42.0415, Human Resources Code, as added by this Act, applies only to a license issued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