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Hall</w:t>
      </w:r>
      <w:r xml:space="preserve">
        <w:tab wTab="150" tlc="none" cTlc="0"/>
      </w:r>
      <w:r>
        <w:t xml:space="preserve">S.B.</w:t>
      </w:r>
      <w:r xml:space="preserve">
        <w:t> </w:t>
      </w:r>
      <w:r>
        <w:t xml:space="preserve">No.</w:t>
      </w:r>
      <w:r xml:space="preserve">
        <w:t> </w:t>
      </w:r>
      <w:r>
        <w:t xml:space="preserve">968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 </w:t>
      </w:r>
      <w:r>
        <w:rPr>
          <w:u w:val="single"/>
        </w:rPr>
        <w:t xml:space="preserve">a</w:t>
      </w:r>
      <w:r>
        <w:t xml:space="preserve"> [</w:t>
      </w:r>
      <w:r>
        <w:rPr>
          <w:strike/>
        </w:rPr>
        <w:t xml:space="preserve">the applicable</w:t>
      </w:r>
      <w:r>
        <w:t xml:space="preserve">] statute specifically states that the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w:t>
      </w:r>
      <w:r xml:space="preserve">
        <w:t> </w:t>
      </w:r>
      <w:r xml:space="preserve">
        <w:t>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REGULATION OF OPEN-ENROLLMENT CHARTER SCHOOLS.  (a)</w:t>
      </w:r>
      <w:r>
        <w:rPr>
          <w:u w:val="single"/>
        </w:rPr>
        <w:t xml:space="preserve"> </w:t>
      </w:r>
      <w:r>
        <w:rPr>
          <w:u w:val="single"/>
        </w:rPr>
        <w:t xml:space="preserve"> </w:t>
      </w:r>
      <w:r>
        <w:rPr>
          <w:u w:val="single"/>
        </w:rPr>
        <w:t xml:space="preserve">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 prohibition on open-enrollment charter schools locating or establishing additional campuses within the jurisdiction of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