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971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Criminal Justice;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peace officer training on recognizing and recording circumstances that indicate strangulation in certain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Texas Commission on Law Enforcement shall establish or modify training programs as necessary to comply with Section 1701.253, Occupations Code, as amended by this Act.</w:t>
      </w:r>
    </w:p>
    <w:p w:rsidR="003F3435" w:rsidRDefault="0032493E">
      <w:pPr>
        <w:spacing w:line="480" w:lineRule="auto"/>
        <w:ind w:firstLine="720"/>
        <w:jc w:val="both"/>
      </w:pPr>
      <w:r>
        <w:t xml:space="preserve">(b)</w:t>
      </w:r>
      <w:r xml:space="preserve">
        <w:t> </w:t>
      </w:r>
      <w:r xml:space="preserve">
        <w:t> </w:t>
      </w:r>
      <w:r>
        <w:t xml:space="preserve">The minimum curriculum requirements under Section 1701.253(d), Occupations Code, as amended by this Act, apply only to a peace officer who first begins to satisfy those requirements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