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86R6293 PMO-F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977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transfer real property in the name of an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 Property Code, is amended by adding Section 12.019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12.019.</w:t>
      </w:r>
      <w:r>
        <w:rPr>
          <w:u w:val="single"/>
        </w:rPr>
        <w:t xml:space="preserve"> </w:t>
      </w:r>
      <w:r>
        <w:rPr>
          <w:u w:val="single"/>
        </w:rPr>
        <w:t xml:space="preserve"> </w:t>
      </w:r>
      <w:r>
        <w:rPr>
          <w:u w:val="single"/>
        </w:rPr>
        <w:t xml:space="preserve">AFFIDAVIT OF AUTHORITY TO TRANSFER.  (a)</w:t>
      </w:r>
      <w:r>
        <w:rPr>
          <w:u w:val="single"/>
        </w:rPr>
        <w:t xml:space="preserve"> </w:t>
      </w:r>
      <w:r>
        <w:rPr>
          <w:u w:val="single"/>
        </w:rPr>
        <w:t xml:space="preserve"> </w:t>
      </w:r>
      <w:r>
        <w:rPr>
          <w:u w:val="single"/>
        </w:rPr>
        <w:t xml:space="preserve">In this section, "domestic entity,"</w:t>
      </w:r>
      <w:r>
        <w:rPr>
          <w:u w:val="single"/>
        </w:rPr>
        <w:t xml:space="preserve"> </w:t>
      </w:r>
      <w:r>
        <w:rPr>
          <w:u w:val="single"/>
        </w:rPr>
        <w:t xml:space="preserve">"foreign entity,"</w:t>
      </w:r>
      <w:r>
        <w:rPr>
          <w:u w:val="single"/>
        </w:rPr>
        <w:t xml:space="preserve"> </w:t>
      </w:r>
      <w:r>
        <w:rPr>
          <w:u w:val="single"/>
        </w:rPr>
        <w:t xml:space="preserve">and "jurisdiction of formation"</w:t>
      </w:r>
      <w:r>
        <w:rPr>
          <w:u w:val="single"/>
        </w:rPr>
        <w:t xml:space="preserve"> </w:t>
      </w:r>
      <w:r>
        <w:rPr>
          <w:u w:val="single"/>
        </w:rPr>
        <w:t xml:space="preserve">have the meanings assigned by Section 1.002, Business Organizations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domestic entity or foreign entity that is active or in good standing under the laws of the entity's jurisdiction of formation may execute and record an affidavit identifying an individual with authority to transfer on behalf of the entity an estate or interest in real property in the name of the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estate or interest in real property in the name of a domestic entity or foreign entity may be transferred by an individual identified as authorized to do so in an affidavit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affidavit described by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executed under penalty of perjury by an individual who swears that 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at least 18 years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authorized to act on behalf of the entity;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fully competent to execute the affidavit;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understands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third parties will rely on the truthfulness of the statements made in the affidavit;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affidavit is made under penalty of perjury;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of the domestic entity or foreign entity that holds title to the real property and that the entity is active or in good standing under the laws of the entity's jurisdiction of 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address, including street address, of the domestic entity's or foreign entity's principal place of business in this state or, if the entity does not have a principal place of business in this state, the address of the entity's principal place of business in the state or country that is the entity's jurisdiction of formation;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legal description of the real property an estate or interest in which is to be transferred and specify the nature of the transfer authorized;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and title of a person authorized to transfer on the entity's behalf an estate or interest in the real property described in the affidavit.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individual executing an affidavit described by Subsection (b) may not be the individual authorized to transfer an estate or interest in the real property described in the affidavit.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individual executing the affidavit described by Subsection (b) may be the individual identified as authorized in the affidavit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 is a for-profit corporation and the affidavit includes a representation by the affiant that the affiant is the sole shareholder, director, and officer of the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entity is a limited liability company and the affidavit includes a representation by the affiant that the affiant is the sole member and manager of the limited liability company.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affidavit may be recorded in the county clerk's office in the county in which the real property is located. </w:t>
      </w:r>
      <w:r>
        <w:rPr>
          <w:u w:val="single"/>
        </w:rPr>
        <w:t xml:space="preserve"> </w:t>
      </w:r>
      <w:r>
        <w:rPr>
          <w:u w:val="single"/>
        </w:rPr>
        <w:t xml:space="preserve">The county clerk may collect a fee for recording an affidavit under this section in the amount authorized for recording a transfer of real property.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affidavit that complies with this section and is filed as authorized by Subsection (g) is conclusive proof of the factual matters stated in the affidavit.  A bona fide purchaser or mortgagee for value, a successor or assign of a bona fide purchaser or mortgagee for value, or a title insurance company may rely conclusively on the affidavit.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who in good faith acts in reliance on an affidavit that complies with this section and is filed as authorized by Subsection (g), without knowledge that the representations contained in the affidavit are incorrect, is not liable to any person for that act and may assume without inquiry the existence of the facts contained in the affidavit.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