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Hughes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979</w:t>
      </w:r>
    </w:p>
    <w:p w:rsidR="003F3435" w:rsidRDefault="0032493E">
      <w:pPr>
        <w:ind w:firstLine="720"/>
        <w:jc w:val="both"/>
      </w:pPr>
      <w:r>
        <w:t xml:space="preserve">(Kacal)</w:t>
      </w:r>
    </w:p>
    <w:p w:rsidR="003F3435" w:rsidRDefault="003F3435"/>
    <w:p w:rsidR="003F3435" w:rsidRDefault="0032493E">
      <w:pPr>
        <w:spacing w:before="240"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including cuttings as a form of propagation for citrus budwood and citrus nursery stock certification programs.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Sections 19.002(3) and (5), Agriculture Code, are amended to read as follows: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"Citrus budwood" means a portion of a stem or branch of a citrus tree containing buds used in propagation </w:t>
      </w:r>
      <w:r>
        <w:rPr>
          <w:u w:val="single"/>
        </w:rPr>
        <w:t xml:space="preserve">from cuttings or</w:t>
      </w:r>
      <w:r>
        <w:t xml:space="preserve"> by budding or grafting.</w:t>
      </w:r>
    </w:p>
    <w:p w:rsidR="003F3435" w:rsidRDefault="0032493E">
      <w:pPr>
        <w:spacing w:line="480" w:lineRule="auto"/>
        <w:ind w:firstLine="1440"/>
        <w:jc w:val="both"/>
      </w:pPr>
      <w:r>
        <w:t xml:space="preserve">(5)</w:t>
      </w:r>
      <w:r xml:space="preserve">
        <w:t> </w:t>
      </w:r>
      <w:r xml:space="preserve">
        <w:t> </w:t>
      </w:r>
      <w:r>
        <w:t xml:space="preserve">"Citrus nursery" means a producer of citrus trees propagated </w:t>
      </w:r>
      <w:r>
        <w:rPr>
          <w:u w:val="single"/>
        </w:rPr>
        <w:t xml:space="preserve">from cuttings or</w:t>
      </w:r>
      <w:r>
        <w:t xml:space="preserve"> through the budding or grafting of citrus trees using certified citrus budwood.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979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