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disaster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33.0024.</w:t>
      </w:r>
      <w:r>
        <w:rPr>
          <w:u w:val="single"/>
        </w:rPr>
        <w:t xml:space="preserve"> </w:t>
      </w:r>
      <w:r>
        <w:rPr>
          <w:u w:val="single"/>
        </w:rPr>
        <w:t xml:space="preserve"> </w:t>
      </w:r>
      <w:r>
        <w:rPr>
          <w:u w:val="single"/>
        </w:rPr>
        <w:t xml:space="preserve">DISASTER SNAP.  (a)</w:t>
      </w:r>
      <w:r>
        <w:rPr>
          <w:u w:val="single"/>
        </w:rPr>
        <w:t xml:space="preserve"> </w:t>
      </w:r>
      <w:r>
        <w:rPr>
          <w:u w:val="single"/>
        </w:rPr>
        <w:t xml:space="preserve"> </w:t>
      </w:r>
      <w:r>
        <w:rPr>
          <w:u w:val="single"/>
        </w:rPr>
        <w:t xml:space="preserve">In this section, "program" means the program to provide supplemental nutrition assistance benefits to victims of a disaster as authorized by 7 U.S.C. Section 2014.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local government officials: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directory of local points of contact for the operation of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 the best method for communication between the commission and local government officials regarding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evaluate, develop, and maintain a list of potential sites for in-person application for program benefits that meet federal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memorandums of understanding with local government agencies documenting the roles and responsibilities of the commission and each local government agency regarding the determination of the need for and the location of sites for in-person application for program benefits;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regarding the program and strategies for effective collaboration between local governments and the commission to local government officials in coastal counties by hosting webinars, conducting conference calls, or holding in-person meetings.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981 passed the Senate on April</w:t>
      </w:r>
      <w:r xml:space="preserve">
        <w:t> </w:t>
      </w:r>
      <w:r>
        <w:t xml:space="preserve">11,</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981 passed the House on May</w:t>
      </w:r>
      <w:r xml:space="preserve">
        <w:t> </w:t>
      </w:r>
      <w:r>
        <w:t xml:space="preserve">22,</w:t>
      </w:r>
      <w:r xml:space="preserve">
        <w:t> </w:t>
      </w:r>
      <w:r>
        <w:t xml:space="preserve">2019, by the following vote:</w:t>
      </w:r>
      <w:r xml:space="preserve">
        <w:t> </w:t>
      </w:r>
      <w:r xml:space="preserve">
        <w:t> </w:t>
      </w:r>
      <w:r>
        <w:t xml:space="preserve">Yeas</w:t>
      </w:r>
      <w:r xml:space="preserve">
        <w:t> </w:t>
      </w:r>
      <w:r>
        <w:t xml:space="preserve">136, Nays</w:t>
      </w:r>
      <w:r xml:space="preserve">
        <w:t> </w:t>
      </w:r>
      <w:r>
        <w:t xml:space="preserve">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